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D2" w:rsidRDefault="009B5DBA" w:rsidP="000F378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F3785">
        <w:rPr>
          <w:rFonts w:ascii="Times New Roman" w:hAnsi="Times New Roman" w:cs="Times New Roman"/>
          <w:b/>
          <w:sz w:val="32"/>
          <w:szCs w:val="32"/>
          <w:u w:val="single"/>
        </w:rPr>
        <w:t>Oświadczenie</w:t>
      </w:r>
      <w:r w:rsidR="003A6ED0" w:rsidRPr="000F378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F3785">
        <w:rPr>
          <w:rFonts w:ascii="Times New Roman" w:hAnsi="Times New Roman" w:cs="Times New Roman"/>
          <w:b/>
          <w:sz w:val="32"/>
          <w:szCs w:val="32"/>
          <w:u w:val="single"/>
        </w:rPr>
        <w:t>Zarządu Banku Spółdzielczego</w:t>
      </w:r>
    </w:p>
    <w:p w:rsidR="009B5DBA" w:rsidRPr="000F3785" w:rsidRDefault="009B5DBA" w:rsidP="000F378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3785">
        <w:rPr>
          <w:rFonts w:ascii="Times New Roman" w:hAnsi="Times New Roman" w:cs="Times New Roman"/>
          <w:b/>
          <w:sz w:val="32"/>
          <w:szCs w:val="32"/>
          <w:u w:val="single"/>
        </w:rPr>
        <w:t xml:space="preserve"> w </w:t>
      </w:r>
      <w:r w:rsidR="009953D2">
        <w:rPr>
          <w:rFonts w:ascii="Times New Roman" w:hAnsi="Times New Roman" w:cs="Times New Roman"/>
          <w:b/>
          <w:sz w:val="32"/>
          <w:szCs w:val="32"/>
          <w:u w:val="single"/>
        </w:rPr>
        <w:t>Kowalewie Pomorskim</w:t>
      </w:r>
    </w:p>
    <w:p w:rsidR="009B5DBA" w:rsidRPr="000F3785" w:rsidRDefault="001A1D1D" w:rsidP="000F378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3785">
        <w:rPr>
          <w:rFonts w:ascii="Times New Roman" w:hAnsi="Times New Roman" w:cs="Times New Roman"/>
          <w:b/>
          <w:sz w:val="32"/>
          <w:szCs w:val="32"/>
          <w:u w:val="single"/>
        </w:rPr>
        <w:t xml:space="preserve">o stosowaniu </w:t>
      </w:r>
      <w:r w:rsidR="003A6ED0" w:rsidRPr="000F3785"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Pr="000F3785">
        <w:rPr>
          <w:rFonts w:ascii="Times New Roman" w:hAnsi="Times New Roman" w:cs="Times New Roman"/>
          <w:b/>
          <w:sz w:val="32"/>
          <w:szCs w:val="32"/>
          <w:u w:val="single"/>
        </w:rPr>
        <w:t>Zasad Ładu Korporacyjnego</w:t>
      </w:r>
      <w:r w:rsidR="003A6ED0" w:rsidRPr="000F3785">
        <w:rPr>
          <w:rFonts w:ascii="Times New Roman" w:hAnsi="Times New Roman" w:cs="Times New Roman"/>
          <w:b/>
          <w:sz w:val="32"/>
          <w:szCs w:val="32"/>
          <w:u w:val="single"/>
        </w:rPr>
        <w:t>”</w:t>
      </w:r>
      <w:r w:rsidRPr="000F3785">
        <w:rPr>
          <w:rFonts w:ascii="Times New Roman" w:hAnsi="Times New Roman" w:cs="Times New Roman"/>
          <w:b/>
          <w:sz w:val="32"/>
          <w:szCs w:val="32"/>
          <w:u w:val="single"/>
        </w:rPr>
        <w:t xml:space="preserve"> wydanych przez Komisję Nadzoru Finansowego</w:t>
      </w:r>
    </w:p>
    <w:p w:rsidR="001A1D1D" w:rsidRPr="000F3785" w:rsidRDefault="001A1D1D" w:rsidP="000F3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A12" w:rsidRPr="000F3785" w:rsidRDefault="004E1CDE" w:rsidP="000F37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85">
        <w:rPr>
          <w:rFonts w:ascii="Times New Roman" w:eastAsia="Calibri" w:hAnsi="Times New Roman" w:cs="Times New Roman"/>
          <w:sz w:val="24"/>
          <w:szCs w:val="24"/>
        </w:rPr>
        <w:t>W  związku z wdrożeniem przez Komisję Nadzoru Finansowego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 xml:space="preserve"> Uchwałą 218/2014</w:t>
      </w: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>„</w:t>
      </w:r>
      <w:r w:rsidRPr="000F3785">
        <w:rPr>
          <w:rFonts w:ascii="Times New Roman" w:eastAsia="Calibri" w:hAnsi="Times New Roman" w:cs="Times New Roman"/>
          <w:sz w:val="24"/>
          <w:szCs w:val="24"/>
        </w:rPr>
        <w:t>Zasad Ładu Korporacyjnego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>”</w:t>
      </w:r>
      <w:r w:rsidRPr="000F3785">
        <w:rPr>
          <w:rFonts w:ascii="Times New Roman" w:eastAsia="Calibri" w:hAnsi="Times New Roman" w:cs="Times New Roman"/>
          <w:sz w:val="24"/>
          <w:szCs w:val="24"/>
        </w:rPr>
        <w:t>, Bank Spółdzielczy</w:t>
      </w:r>
      <w:r w:rsidR="004F1A30">
        <w:rPr>
          <w:rFonts w:ascii="Times New Roman" w:eastAsia="Calibri" w:hAnsi="Times New Roman" w:cs="Times New Roman"/>
          <w:sz w:val="24"/>
          <w:szCs w:val="24"/>
        </w:rPr>
        <w:t xml:space="preserve"> w Kowalewie Pomorskim</w:t>
      </w: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 z siedzibą w </w:t>
      </w:r>
      <w:r w:rsidR="004F1A30">
        <w:rPr>
          <w:rFonts w:ascii="Times New Roman" w:eastAsia="Calibri" w:hAnsi="Times New Roman" w:cs="Times New Roman"/>
          <w:sz w:val="24"/>
          <w:szCs w:val="24"/>
        </w:rPr>
        <w:t>Kowalewie Pomorskim</w:t>
      </w: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, zwany dalej „Bankiem”, oświadcza, że wprowadza 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>„</w:t>
      </w:r>
      <w:r w:rsidRPr="000F3785">
        <w:rPr>
          <w:rFonts w:ascii="Times New Roman" w:eastAsia="Calibri" w:hAnsi="Times New Roman" w:cs="Times New Roman"/>
          <w:sz w:val="24"/>
          <w:szCs w:val="24"/>
        </w:rPr>
        <w:t>Zasady Ładu  Korporacyjnego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>”</w:t>
      </w: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 określone w dokumencie K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 xml:space="preserve">omisji </w:t>
      </w:r>
      <w:r w:rsidRPr="000F3785">
        <w:rPr>
          <w:rFonts w:ascii="Times New Roman" w:eastAsia="Calibri" w:hAnsi="Times New Roman" w:cs="Times New Roman"/>
          <w:sz w:val="24"/>
          <w:szCs w:val="24"/>
        </w:rPr>
        <w:t>N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 xml:space="preserve">adzoru </w:t>
      </w:r>
      <w:r w:rsidRPr="000F3785">
        <w:rPr>
          <w:rFonts w:ascii="Times New Roman" w:eastAsia="Calibri" w:hAnsi="Times New Roman" w:cs="Times New Roman"/>
          <w:sz w:val="24"/>
          <w:szCs w:val="24"/>
        </w:rPr>
        <w:t>F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>inansowego</w:t>
      </w: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E15" w:rsidRPr="000F3785">
        <w:rPr>
          <w:rFonts w:ascii="Times New Roman" w:hAnsi="Times New Roman" w:cs="Times New Roman"/>
          <w:sz w:val="24"/>
          <w:szCs w:val="24"/>
        </w:rPr>
        <w:t xml:space="preserve">poprzez uchwalenie </w:t>
      </w:r>
      <w:r w:rsidR="00677A12" w:rsidRPr="000F3785">
        <w:rPr>
          <w:rFonts w:ascii="Times New Roman" w:hAnsi="Times New Roman" w:cs="Times New Roman"/>
          <w:sz w:val="24"/>
          <w:szCs w:val="24"/>
        </w:rPr>
        <w:t>„</w:t>
      </w:r>
      <w:r w:rsidR="00F87E15" w:rsidRPr="000F3785">
        <w:rPr>
          <w:rFonts w:ascii="Times New Roman" w:hAnsi="Times New Roman" w:cs="Times New Roman"/>
          <w:sz w:val="24"/>
          <w:szCs w:val="24"/>
        </w:rPr>
        <w:t>Polityki Ładu Korporacyjnego</w:t>
      </w:r>
      <w:r w:rsidR="00677A12" w:rsidRPr="000F3785">
        <w:rPr>
          <w:rFonts w:ascii="Times New Roman" w:hAnsi="Times New Roman" w:cs="Times New Roman"/>
          <w:sz w:val="24"/>
          <w:szCs w:val="24"/>
        </w:rPr>
        <w:t xml:space="preserve"> w Banku Spółdzielczym w</w:t>
      </w:r>
      <w:r w:rsidR="004F1A30">
        <w:rPr>
          <w:rFonts w:ascii="Times New Roman" w:hAnsi="Times New Roman" w:cs="Times New Roman"/>
          <w:sz w:val="24"/>
          <w:szCs w:val="24"/>
        </w:rPr>
        <w:t xml:space="preserve"> Kowalewie Pomorskim</w:t>
      </w:r>
      <w:r w:rsidR="00F87E15" w:rsidRPr="000F3785">
        <w:rPr>
          <w:rFonts w:ascii="Times New Roman" w:hAnsi="Times New Roman" w:cs="Times New Roman"/>
          <w:sz w:val="24"/>
          <w:szCs w:val="24"/>
        </w:rPr>
        <w:t xml:space="preserve">, </w:t>
      </w:r>
      <w:r w:rsidRPr="000F3785">
        <w:rPr>
          <w:rFonts w:ascii="Times New Roman" w:eastAsia="Calibri" w:hAnsi="Times New Roman" w:cs="Times New Roman"/>
          <w:sz w:val="24"/>
          <w:szCs w:val="24"/>
        </w:rPr>
        <w:t>zgodnie z zasadą proporcjonalności i adekwatności wynikającą ze skali, charakteru działalności oraz specyfiki Banku.</w:t>
      </w:r>
      <w:r w:rsidR="00677A12" w:rsidRPr="000F37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7A12" w:rsidRPr="000F3785" w:rsidRDefault="00677A12" w:rsidP="000F37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Treść „Zasad Ładu Korporacyjnego” wydanych przez Komisję Nadzoru Finansowego znajduje się w Dzienniku Urzędowym Komisji Nadzoru Finansowego 2014 r. pod poz. 17, dostępnym również na stronie internetowej Komisji pod adresem: </w:t>
      </w:r>
      <w:hyperlink r:id="rId5" w:history="1">
        <w:r w:rsidRPr="000F3785">
          <w:rPr>
            <w:rStyle w:val="Hipercze"/>
            <w:rFonts w:ascii="Times New Roman" w:hAnsi="Times New Roman" w:cs="Times New Roman"/>
            <w:sz w:val="24"/>
            <w:szCs w:val="24"/>
          </w:rPr>
          <w:t>http://www.dziennikiurzedoweknf.gov.pl/pliki/D_Urz_KNF_poz_17_2014_tcm6-39564.pdf</w:t>
        </w:r>
      </w:hyperlink>
    </w:p>
    <w:p w:rsidR="004E1CDE" w:rsidRPr="000F3785" w:rsidRDefault="00677A12" w:rsidP="000F37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Polityka </w:t>
      </w:r>
      <w:r w:rsidR="004E1CDE" w:rsidRPr="000F3785">
        <w:rPr>
          <w:rFonts w:ascii="Times New Roman" w:eastAsia="Calibri" w:hAnsi="Times New Roman" w:cs="Times New Roman"/>
          <w:sz w:val="24"/>
          <w:szCs w:val="24"/>
        </w:rPr>
        <w:t>Ładu Korporacyjnego stanowi</w:t>
      </w: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 zbiór z</w:t>
      </w:r>
      <w:r w:rsidR="004E1CDE" w:rsidRPr="000F3785">
        <w:rPr>
          <w:rFonts w:ascii="Times New Roman" w:eastAsia="Calibri" w:hAnsi="Times New Roman" w:cs="Times New Roman"/>
          <w:sz w:val="24"/>
          <w:szCs w:val="24"/>
        </w:rPr>
        <w:t xml:space="preserve">asad określających relacje wewnętrzne i zewnętrzne  Banku  w tym relacje z udziałowcami Banku i klientami, organizację, funkcjonowanie nadzoru wewnętrznego oraz kluczowych systemów i funkcji wewnętrznych, a także organów statutowych i zasad ich współdziałania. </w:t>
      </w:r>
    </w:p>
    <w:p w:rsidR="00677A12" w:rsidRPr="000F3785" w:rsidRDefault="00677A12" w:rsidP="004F1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Tekst </w:t>
      </w:r>
      <w:r w:rsidRPr="000F3785">
        <w:rPr>
          <w:rFonts w:ascii="Times New Roman" w:hAnsi="Times New Roman" w:cs="Times New Roman"/>
          <w:sz w:val="24"/>
          <w:szCs w:val="24"/>
        </w:rPr>
        <w:t>„Polityki Ładu Korporacyjnego w Banku Spółdzielczym w</w:t>
      </w:r>
      <w:r w:rsidR="004F1A30">
        <w:rPr>
          <w:rFonts w:ascii="Times New Roman" w:hAnsi="Times New Roman" w:cs="Times New Roman"/>
          <w:sz w:val="24"/>
          <w:szCs w:val="24"/>
        </w:rPr>
        <w:t xml:space="preserve"> Banku Spółdzielczym w Kowalewie Pomorskim</w:t>
      </w:r>
      <w:r w:rsidRPr="000F3785">
        <w:rPr>
          <w:rFonts w:ascii="Times New Roman" w:hAnsi="Times New Roman" w:cs="Times New Roman"/>
          <w:sz w:val="24"/>
          <w:szCs w:val="24"/>
        </w:rPr>
        <w:t xml:space="preserve">” </w:t>
      </w:r>
      <w:r w:rsidR="006D162E" w:rsidRPr="000F3785">
        <w:rPr>
          <w:rFonts w:ascii="Times New Roman" w:hAnsi="Times New Roman" w:cs="Times New Roman"/>
          <w:sz w:val="24"/>
          <w:szCs w:val="24"/>
        </w:rPr>
        <w:t xml:space="preserve">(zwanej dalej też „Polityką”) </w:t>
      </w:r>
      <w:r w:rsidRPr="000F3785">
        <w:rPr>
          <w:rFonts w:ascii="Times New Roman" w:hAnsi="Times New Roman" w:cs="Times New Roman"/>
          <w:sz w:val="24"/>
          <w:szCs w:val="24"/>
        </w:rPr>
        <w:t xml:space="preserve">dostępny jest w Oddziałach Banku oraz na stronie internetowej Banku pod adresem: </w:t>
      </w:r>
      <w:r w:rsidR="004F1A30" w:rsidRPr="004F1A30">
        <w:rPr>
          <w:rFonts w:ascii="Times New Roman" w:hAnsi="Times New Roman" w:cs="Times New Roman"/>
          <w:color w:val="00B050"/>
          <w:sz w:val="24"/>
          <w:szCs w:val="24"/>
        </w:rPr>
        <w:t>www.bskowalewo.pl</w:t>
      </w:r>
    </w:p>
    <w:p w:rsidR="004E1CDE" w:rsidRPr="000F3785" w:rsidRDefault="00677A12" w:rsidP="000F37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eastAsia="Calibri" w:hAnsi="Times New Roman" w:cs="Times New Roman"/>
          <w:sz w:val="24"/>
          <w:szCs w:val="24"/>
        </w:rPr>
        <w:t xml:space="preserve">Główne postanowienia </w:t>
      </w:r>
      <w:r w:rsidRPr="000F3785">
        <w:rPr>
          <w:rFonts w:ascii="Times New Roman" w:hAnsi="Times New Roman" w:cs="Times New Roman"/>
          <w:sz w:val="24"/>
          <w:szCs w:val="24"/>
        </w:rPr>
        <w:t>„Zasad Ładu Korporacyjnego”</w:t>
      </w:r>
      <w:r w:rsidR="00F87E15" w:rsidRPr="000F3785">
        <w:rPr>
          <w:rFonts w:ascii="Times New Roman" w:hAnsi="Times New Roman" w:cs="Times New Roman"/>
          <w:sz w:val="24"/>
          <w:szCs w:val="24"/>
        </w:rPr>
        <w:t>, które</w:t>
      </w:r>
      <w:r w:rsidR="004E1CDE" w:rsidRPr="000F3785">
        <w:rPr>
          <w:rFonts w:ascii="Times New Roman" w:hAnsi="Times New Roman" w:cs="Times New Roman"/>
          <w:sz w:val="24"/>
          <w:szCs w:val="24"/>
        </w:rPr>
        <w:t xml:space="preserve">, zgodnie z zasadą proporcjonalności, </w:t>
      </w:r>
      <w:r w:rsidR="00F87E15" w:rsidRPr="000F3785">
        <w:rPr>
          <w:rFonts w:ascii="Times New Roman" w:hAnsi="Times New Roman" w:cs="Times New Roman"/>
          <w:sz w:val="24"/>
          <w:szCs w:val="24"/>
        </w:rPr>
        <w:t xml:space="preserve">w ocenie Banku nie stosują się do </w:t>
      </w:r>
      <w:r w:rsidR="004E1CDE" w:rsidRPr="000F3785">
        <w:rPr>
          <w:rFonts w:ascii="Times New Roman" w:hAnsi="Times New Roman" w:cs="Times New Roman"/>
          <w:sz w:val="24"/>
          <w:szCs w:val="24"/>
        </w:rPr>
        <w:t>Bank</w:t>
      </w:r>
      <w:r w:rsidR="00F87E15" w:rsidRPr="000F3785">
        <w:rPr>
          <w:rFonts w:ascii="Times New Roman" w:hAnsi="Times New Roman" w:cs="Times New Roman"/>
          <w:sz w:val="24"/>
          <w:szCs w:val="24"/>
        </w:rPr>
        <w:t>u</w:t>
      </w:r>
      <w:r w:rsidRPr="000F3785">
        <w:rPr>
          <w:rFonts w:ascii="Times New Roman" w:hAnsi="Times New Roman" w:cs="Times New Roman"/>
          <w:sz w:val="24"/>
          <w:szCs w:val="24"/>
        </w:rPr>
        <w:t xml:space="preserve"> lub stosowane są w zmodyfikowanej postaci</w:t>
      </w:r>
      <w:r w:rsidR="004E1CDE" w:rsidRPr="000F3785">
        <w:rPr>
          <w:rFonts w:ascii="Times New Roman" w:hAnsi="Times New Roman" w:cs="Times New Roman"/>
          <w:sz w:val="24"/>
          <w:szCs w:val="24"/>
        </w:rPr>
        <w:t xml:space="preserve"> </w:t>
      </w:r>
      <w:r w:rsidR="00F87E15" w:rsidRPr="000F3785">
        <w:rPr>
          <w:rFonts w:ascii="Times New Roman" w:hAnsi="Times New Roman" w:cs="Times New Roman"/>
          <w:sz w:val="24"/>
          <w:szCs w:val="24"/>
        </w:rPr>
        <w:t>to</w:t>
      </w:r>
      <w:r w:rsidR="004E1CDE" w:rsidRPr="000F3785">
        <w:rPr>
          <w:rFonts w:ascii="Times New Roman" w:hAnsi="Times New Roman" w:cs="Times New Roman"/>
          <w:sz w:val="24"/>
          <w:szCs w:val="24"/>
        </w:rPr>
        <w:t>:</w:t>
      </w:r>
    </w:p>
    <w:p w:rsidR="006672B7" w:rsidRPr="000F3785" w:rsidRDefault="006672B7" w:rsidP="000F37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1F6" w:rsidRPr="000F3785" w:rsidRDefault="007811F6" w:rsidP="000F37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85">
        <w:rPr>
          <w:rFonts w:ascii="Times New Roman" w:hAnsi="Times New Roman" w:cs="Times New Roman"/>
          <w:b/>
          <w:sz w:val="24"/>
          <w:szCs w:val="24"/>
        </w:rPr>
        <w:t>Zasada określona w § 8 ust. 4 „Zasad Ładu Korporacyjnego” – ułatwienia dla udziałowców:</w:t>
      </w:r>
    </w:p>
    <w:p w:rsidR="007811F6" w:rsidRPr="000F3785" w:rsidRDefault="007811F6" w:rsidP="000F3785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>W opinii Banku, Statut Banku, przepisy Prawa Spółdzielczego oraz Regulamin Obrad Zebrania Przedstawicieli obowiązujący w Banku regulują przebieg i udział w Zebrań Przedstawicieli w sposób kompleksowy. Wprowadzenie zasady byłoby w znacznym stopniu utrudnione ze względów organizacyjno-technicznych. Ponadto wprowadzenie technologii transmisji obrad Zebrań Przedstawicieli oraz dwustronnej komunikacji w czasie rzeczywistym jest kosztownym rozwiązaniem.</w:t>
      </w:r>
    </w:p>
    <w:p w:rsidR="007811F6" w:rsidRPr="000F3785" w:rsidRDefault="007811F6" w:rsidP="000F3785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Należy również zwrócić uwagę, iż wprowadzenie tej zasady ma sens w spółkach publicznych, gdzie akcjonariat jest rozproszony. Natomiast banki spółdzielcze cechują się z </w:t>
      </w:r>
      <w:r w:rsidRPr="000F3785">
        <w:rPr>
          <w:rFonts w:ascii="Times New Roman" w:hAnsi="Times New Roman" w:cs="Times New Roman"/>
          <w:sz w:val="24"/>
          <w:szCs w:val="24"/>
        </w:rPr>
        <w:lastRenderedPageBreak/>
        <w:t>zasady lokalnością działania, w związku z czym nie ma uzasadnienia dla wprowadzania tak kosztownych rozwiązań.</w:t>
      </w:r>
    </w:p>
    <w:p w:rsidR="007811F6" w:rsidRPr="000F3785" w:rsidRDefault="007811F6" w:rsidP="000F378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2E" w:rsidRPr="000F3785" w:rsidRDefault="006D162E" w:rsidP="000F3785">
      <w:pPr>
        <w:pStyle w:val="NormalnyWeb"/>
        <w:numPr>
          <w:ilvl w:val="0"/>
          <w:numId w:val="4"/>
        </w:numPr>
        <w:spacing w:before="0" w:beforeAutospacing="0" w:after="335" w:afterAutospacing="0" w:line="276" w:lineRule="auto"/>
        <w:jc w:val="both"/>
        <w:rPr>
          <w:b/>
        </w:rPr>
      </w:pPr>
      <w:r w:rsidRPr="000F3785">
        <w:rPr>
          <w:b/>
        </w:rPr>
        <w:t>Zasady określone w §  11 „Zasad Ładu Korporacyjnego”</w:t>
      </w:r>
      <w:r w:rsidR="00C616E7" w:rsidRPr="000F3785">
        <w:rPr>
          <w:b/>
        </w:rPr>
        <w:t xml:space="preserve"> – transakcje z podmiotami powiązanymi</w:t>
      </w:r>
      <w:r w:rsidRPr="000F3785">
        <w:rPr>
          <w:b/>
        </w:rPr>
        <w:t>.</w:t>
      </w:r>
    </w:p>
    <w:p w:rsidR="006D162E" w:rsidRPr="000F3785" w:rsidRDefault="006D162E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>Bank nie posiada podmiotów powiązanych w rozumieniu Ustawy z dnia 29 sierpnia 1997 r. Prawo bankowe, w związku z czym nie wprowadził zapisów dotyczących § 11 „Zasad Ładu Korporacyjnego” do Polityki.</w:t>
      </w:r>
    </w:p>
    <w:p w:rsidR="006D162E" w:rsidRPr="000F3785" w:rsidRDefault="00CE0361" w:rsidP="000F3785">
      <w:pPr>
        <w:pStyle w:val="NormalnyWeb"/>
        <w:numPr>
          <w:ilvl w:val="0"/>
          <w:numId w:val="4"/>
        </w:numPr>
        <w:spacing w:before="0" w:beforeAutospacing="0" w:after="335" w:afterAutospacing="0" w:line="276" w:lineRule="auto"/>
        <w:jc w:val="both"/>
        <w:rPr>
          <w:b/>
        </w:rPr>
      </w:pPr>
      <w:r w:rsidRPr="000F3785">
        <w:rPr>
          <w:b/>
        </w:rPr>
        <w:t>Zasady określone w § 12 ust. 1 i 2 „Zasad Ładu Korporacyjnego”</w:t>
      </w:r>
      <w:r w:rsidR="00C616E7" w:rsidRPr="000F3785">
        <w:rPr>
          <w:b/>
        </w:rPr>
        <w:t xml:space="preserve"> – dokapitalizowanie i dofinansowanie Banku przez udziałowców.</w:t>
      </w:r>
    </w:p>
    <w:p w:rsidR="00CE0361" w:rsidRPr="000F3785" w:rsidRDefault="00CE0361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 xml:space="preserve">W ocenie Banku zasady te nie dotyczą Banku, </w:t>
      </w:r>
      <w:r w:rsidR="00C616E7" w:rsidRPr="000F3785">
        <w:t>m.in.</w:t>
      </w:r>
      <w:r w:rsidRPr="000F3785">
        <w:t xml:space="preserve"> ze względu na fakt, iż aktualnie obowiązujące przepisy prawa nie dopuszczają możliwości zaliczenia funduszu udziałowego do </w:t>
      </w:r>
      <w:r w:rsidR="007C6592" w:rsidRPr="000F3785">
        <w:t xml:space="preserve">funduszy własnych Banku </w:t>
      </w:r>
      <w:r w:rsidRPr="000F3785">
        <w:t xml:space="preserve">tzw. </w:t>
      </w:r>
      <w:r w:rsidR="007C6592" w:rsidRPr="000F3785">
        <w:t xml:space="preserve">CET </w:t>
      </w:r>
      <w:r w:rsidRPr="000F3785">
        <w:t>I, co oznacza, iż nie ma możliwości skutecznego dokapitalizowania Banku. Ponadto obowiązek dostarczenia wsparcia finansowego wydaje się być racjonalny dla banków komercyjnych, gdzie występują udziałowcy większościowi. W przypadku Banku, który posiada dużą liczbę udziałowców będących osobami fizycznymi, nałożenie na nich dodatkowego obowiązku udzielenia wsparcia finansowego jest niewykonalne i nieracjonalne.</w:t>
      </w:r>
      <w:r w:rsidR="00C616E7" w:rsidRPr="000F3785">
        <w:t xml:space="preserve"> </w:t>
      </w:r>
      <w:r w:rsidRPr="000F3785">
        <w:t>W związku z powyższym Bank postanowił nie</w:t>
      </w:r>
      <w:r w:rsidR="007C4034" w:rsidRPr="000F3785">
        <w:t xml:space="preserve"> </w:t>
      </w:r>
      <w:r w:rsidRPr="000F3785">
        <w:t>stosować zasad określonych w tych przepisach.</w:t>
      </w:r>
    </w:p>
    <w:p w:rsidR="00CE0361" w:rsidRPr="000F3785" w:rsidRDefault="00CE0361" w:rsidP="000F3785">
      <w:pPr>
        <w:pStyle w:val="NormalnyWeb"/>
        <w:numPr>
          <w:ilvl w:val="0"/>
          <w:numId w:val="4"/>
        </w:numPr>
        <w:spacing w:before="0" w:beforeAutospacing="0" w:after="335" w:afterAutospacing="0" w:line="276" w:lineRule="auto"/>
        <w:jc w:val="both"/>
        <w:rPr>
          <w:b/>
        </w:rPr>
      </w:pPr>
      <w:r w:rsidRPr="000F3785">
        <w:rPr>
          <w:b/>
        </w:rPr>
        <w:t>Zasady określone w § 13 oraz w § 19 „Zasad Ładu Korporacyjnego”</w:t>
      </w:r>
      <w:r w:rsidR="00C616E7" w:rsidRPr="000F3785">
        <w:rPr>
          <w:b/>
        </w:rPr>
        <w:t xml:space="preserve"> – kompetencje członków organów Banku</w:t>
      </w:r>
      <w:r w:rsidRPr="000F3785">
        <w:rPr>
          <w:b/>
        </w:rPr>
        <w:t>.</w:t>
      </w:r>
    </w:p>
    <w:p w:rsidR="00CE0361" w:rsidRPr="000F3785" w:rsidRDefault="00CE0361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>W związku z faktem, iż Bank, w przeciwieństwie do innych podmi</w:t>
      </w:r>
      <w:r w:rsidR="003D572B" w:rsidRPr="000F3785">
        <w:t>otów nadzorowanych przez Komisję</w:t>
      </w:r>
      <w:r w:rsidRPr="000F3785">
        <w:t xml:space="preserve"> Nadzoru Finansowego, posiada stosowne regulacje </w:t>
      </w:r>
      <w:r w:rsidR="000E66F9" w:rsidRPr="000F3785">
        <w:t xml:space="preserve">określające kompetencje </w:t>
      </w:r>
      <w:r w:rsidRPr="000F3785">
        <w:t>członków Zarządu i członków Rady Nadzorczej, Bank uznaje, iż realizuje obowiązki określone w tych zasadach poprzez stosowanie powszechnie obowiązujących przepisów prawa, wytycznych, rekomendacji i zaleceń, określonych przez Europejski Urząd Nadzoru Bankowego oraz Komisję Nadzoru Finansowego, regulujących tą materię, z zachowaniem zasady proporcjonalności.</w:t>
      </w:r>
    </w:p>
    <w:p w:rsidR="00CE0361" w:rsidRPr="000F3785" w:rsidRDefault="00CE0361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>W związku z powyższym Bank przyjął w § 1</w:t>
      </w:r>
      <w:r w:rsidR="004F1A30">
        <w:t>2</w:t>
      </w:r>
      <w:r w:rsidRPr="000F3785">
        <w:t xml:space="preserve"> ust. </w:t>
      </w:r>
      <w:r w:rsidR="004F1A30">
        <w:t>6</w:t>
      </w:r>
      <w:r w:rsidRPr="000F3785">
        <w:t xml:space="preserve"> oraz w § 1</w:t>
      </w:r>
      <w:r w:rsidR="004F1A30">
        <w:t>8</w:t>
      </w:r>
      <w:r w:rsidRPr="000F3785">
        <w:t xml:space="preserve"> ust. 5 Polityki jednolitą zasadę, iż:</w:t>
      </w:r>
    </w:p>
    <w:p w:rsidR="00CE0361" w:rsidRDefault="00CE0361" w:rsidP="000F3785">
      <w:pPr>
        <w:pStyle w:val="NormalnyWeb"/>
        <w:spacing w:before="0" w:beforeAutospacing="0" w:after="335" w:afterAutospacing="0" w:line="276" w:lineRule="auto"/>
        <w:jc w:val="both"/>
      </w:pPr>
      <w:r w:rsidRPr="000F3785">
        <w:t>„Bank realizuje powyższe zasady poprzez stosowanie przepisów prawa powszechnie obowiązującego oraz wytycznych, rekomendacji i zaleceń, określonych przez Europejski Urząd Nadzoru Bankowego oraz Komisję Nadzoru Finansowego, regulujących tą materię, z zachowaniem zasady proporcjonalności”.</w:t>
      </w:r>
    </w:p>
    <w:p w:rsidR="000F3785" w:rsidRDefault="000F3785" w:rsidP="000F3785">
      <w:pPr>
        <w:pStyle w:val="NormalnyWeb"/>
        <w:spacing w:before="0" w:beforeAutospacing="0" w:after="335" w:afterAutospacing="0" w:line="276" w:lineRule="auto"/>
        <w:jc w:val="both"/>
      </w:pPr>
    </w:p>
    <w:p w:rsidR="000F3785" w:rsidRPr="000F3785" w:rsidRDefault="000F3785" w:rsidP="000F3785">
      <w:pPr>
        <w:pStyle w:val="NormalnyWeb"/>
        <w:spacing w:before="0" w:beforeAutospacing="0" w:after="335" w:afterAutospacing="0" w:line="276" w:lineRule="auto"/>
        <w:jc w:val="both"/>
      </w:pPr>
    </w:p>
    <w:p w:rsidR="00CE0361" w:rsidRPr="000F3785" w:rsidRDefault="00CE0361" w:rsidP="000F3785">
      <w:pPr>
        <w:pStyle w:val="NormalnyWeb"/>
        <w:numPr>
          <w:ilvl w:val="0"/>
          <w:numId w:val="4"/>
        </w:numPr>
        <w:spacing w:before="0" w:beforeAutospacing="0" w:after="335" w:afterAutospacing="0" w:line="276" w:lineRule="auto"/>
        <w:jc w:val="both"/>
        <w:rPr>
          <w:b/>
        </w:rPr>
      </w:pPr>
      <w:r w:rsidRPr="000F3785">
        <w:rPr>
          <w:b/>
        </w:rPr>
        <w:t>Zasady określone w § 22 ust. 1 i 2 „Zasad Ładu Korporacyjnego”</w:t>
      </w:r>
      <w:r w:rsidR="00C616E7" w:rsidRPr="000F3785">
        <w:rPr>
          <w:b/>
        </w:rPr>
        <w:t xml:space="preserve"> – niezależność członków organów Banku.</w:t>
      </w:r>
    </w:p>
    <w:p w:rsidR="000E66F9" w:rsidRPr="000F3785" w:rsidRDefault="000E66F9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>Zgodnie z Ustawą z dnia 16 września 1982 r. Prawo spółdzielcze, do organów spółdzielni maj</w:t>
      </w:r>
      <w:r w:rsidR="00ED4B45">
        <w:t>ą</w:t>
      </w:r>
      <w:r w:rsidRPr="000F3785">
        <w:t xml:space="preserve"> prawo być wybierani jej członkowie. W związku z powyższym, Bank uznaje, iż zasady określone w przytoczonych przepisach, dot. niezależności członków organu nadzorującego, nie znajdują zastosowania do banku funkcjonującego w formie spółdzielni, jakim jest Bank. </w:t>
      </w:r>
    </w:p>
    <w:p w:rsidR="00CE0361" w:rsidRPr="000F3785" w:rsidRDefault="000E66F9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>W związku z powyższym Bank przyjął w § 2</w:t>
      </w:r>
      <w:r w:rsidR="004F1A30">
        <w:t>1</w:t>
      </w:r>
      <w:r w:rsidR="005855DB">
        <w:t xml:space="preserve"> </w:t>
      </w:r>
      <w:r w:rsidRPr="000F3785">
        <w:t xml:space="preserve"> ust. 1 Polityki zasadę, iż:</w:t>
      </w:r>
    </w:p>
    <w:p w:rsidR="000E66F9" w:rsidRPr="000F3785" w:rsidRDefault="000E66F9" w:rsidP="000F3785">
      <w:pPr>
        <w:pStyle w:val="NormalnyWeb"/>
        <w:spacing w:before="0" w:beforeAutospacing="0" w:after="335" w:afterAutospacing="0" w:line="276" w:lineRule="auto"/>
        <w:jc w:val="both"/>
      </w:pPr>
      <w:r w:rsidRPr="000F3785">
        <w:t>„Do składu Rady Nadzorczej wybierani są udziałowcy Banku, zgodnie z Prawem spółdzielczym.”</w:t>
      </w:r>
    </w:p>
    <w:p w:rsidR="00C616E7" w:rsidRPr="000F3785" w:rsidRDefault="00C616E7" w:rsidP="000F3785">
      <w:pPr>
        <w:pStyle w:val="NormalnyWeb"/>
        <w:numPr>
          <w:ilvl w:val="0"/>
          <w:numId w:val="4"/>
        </w:numPr>
        <w:spacing w:before="0" w:beforeAutospacing="0" w:after="335" w:afterAutospacing="0" w:line="276" w:lineRule="auto"/>
        <w:jc w:val="both"/>
        <w:rPr>
          <w:b/>
        </w:rPr>
      </w:pPr>
      <w:r w:rsidRPr="000F3785">
        <w:rPr>
          <w:b/>
        </w:rPr>
        <w:t>Zasady określone w „Zasad</w:t>
      </w:r>
      <w:r w:rsidR="0073628C" w:rsidRPr="000F3785">
        <w:rPr>
          <w:b/>
        </w:rPr>
        <w:t>ach</w:t>
      </w:r>
      <w:r w:rsidRPr="000F3785">
        <w:rPr>
          <w:b/>
        </w:rPr>
        <w:t xml:space="preserve"> Ładu Korporacyjnego” </w:t>
      </w:r>
      <w:r w:rsidR="0073628C" w:rsidRPr="000F3785">
        <w:rPr>
          <w:b/>
        </w:rPr>
        <w:t xml:space="preserve">dot. komitetu audytu oraz </w:t>
      </w:r>
      <w:r w:rsidRPr="000F3785">
        <w:rPr>
          <w:b/>
        </w:rPr>
        <w:t>komórk</w:t>
      </w:r>
      <w:r w:rsidR="0073628C" w:rsidRPr="000F3785">
        <w:rPr>
          <w:b/>
        </w:rPr>
        <w:t>i</w:t>
      </w:r>
      <w:r w:rsidRPr="000F3785">
        <w:rPr>
          <w:b/>
        </w:rPr>
        <w:t xml:space="preserve"> audytu</w:t>
      </w:r>
      <w:r w:rsidR="0073628C" w:rsidRPr="000F3785">
        <w:rPr>
          <w:b/>
        </w:rPr>
        <w:t>.</w:t>
      </w:r>
    </w:p>
    <w:p w:rsidR="0073628C" w:rsidRPr="000F3785" w:rsidRDefault="0073628C" w:rsidP="000F3785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 xml:space="preserve">Zgodnie z art. 86 ust. 2 pkt 4) Ustawy z dnia 7 maja 2009 r. </w:t>
      </w:r>
      <w:r w:rsidR="006672B7" w:rsidRPr="000F3785">
        <w:t>o biegłych rewidentach i ich samorządzie, podmiotach uprawnionych do badania sprawozdań finansowych oraz o nadzorze publicznym</w:t>
      </w:r>
      <w:r w:rsidR="00DB0013" w:rsidRPr="000F3785">
        <w:t>, banki spółdzielcze nie mają obowiązku powoływania komitetu audytu, w związku z czym postanowienia Zasad w tym zakresie nie stosują się do Banku.</w:t>
      </w:r>
    </w:p>
    <w:p w:rsidR="00C616E7" w:rsidRPr="000F3785" w:rsidRDefault="00C616E7" w:rsidP="005855DB">
      <w:pPr>
        <w:pStyle w:val="NormalnyWeb"/>
        <w:spacing w:before="0" w:beforeAutospacing="0" w:after="335" w:afterAutospacing="0" w:line="276" w:lineRule="auto"/>
        <w:ind w:firstLine="708"/>
        <w:jc w:val="both"/>
      </w:pPr>
      <w:r w:rsidRPr="000F3785">
        <w:t>W związku z faktem, iż Bank</w:t>
      </w:r>
      <w:r w:rsidR="005855DB">
        <w:t xml:space="preserve"> działając na podstawie art. 22 b ust. 1 Ustawy z dnia 7 grudnia 2000 r. o funkcjonowaniu banków spółdzielczych</w:t>
      </w:r>
      <w:r w:rsidRPr="000F3785">
        <w:t>,</w:t>
      </w:r>
      <w:r w:rsidR="005855DB">
        <w:t xml:space="preserve"> ich zrzeszaniu się i bankach zrzeszających zawarł w dniu 23 listopada 2015 r. Umowę Systemu Ochrony i </w:t>
      </w:r>
      <w:r w:rsidRPr="000F3785">
        <w:t xml:space="preserve">zgodnie z art. 10 </w:t>
      </w:r>
      <w:r w:rsidR="005855DB">
        <w:t xml:space="preserve">ust. 2 Ustawy z dnia 29 sierpnia 1997 r. Prawo bankowe powierzył wykonywanie audytu wewnętrznego Spółdzielni działającej pod firmą „Spółdzielczy System Ochrony SGB” z siedzibą w Poznaniu – jednostce zarządzającej Systemem Ochrony SGB, </w:t>
      </w:r>
      <w:r w:rsidRPr="000F3785">
        <w:t xml:space="preserve">w Banku nie ma wyodrębnionej komórki audytu wewnętrznego, a co za tym idzie osoby nią kierującą. W związku z powyższym </w:t>
      </w:r>
      <w:r w:rsidR="0073628C" w:rsidRPr="000F3785">
        <w:t xml:space="preserve">Bank dokonał </w:t>
      </w:r>
      <w:r w:rsidR="006672B7" w:rsidRPr="000F3785">
        <w:t xml:space="preserve">w Polityce </w:t>
      </w:r>
      <w:r w:rsidR="0073628C" w:rsidRPr="000F3785">
        <w:t>stosownej modyfikacji</w:t>
      </w:r>
      <w:r w:rsidR="006672B7" w:rsidRPr="000F3785">
        <w:t xml:space="preserve"> „Zasad Ładu Korporacyjnego”</w:t>
      </w:r>
      <w:r w:rsidRPr="000F3785">
        <w:t>.</w:t>
      </w:r>
    </w:p>
    <w:p w:rsidR="001C7F1B" w:rsidRPr="000F3785" w:rsidRDefault="005A6456" w:rsidP="000F3785">
      <w:pPr>
        <w:pStyle w:val="NormalnyWeb"/>
        <w:numPr>
          <w:ilvl w:val="0"/>
          <w:numId w:val="4"/>
        </w:numPr>
        <w:spacing w:before="0" w:beforeAutospacing="0" w:after="335" w:afterAutospacing="0" w:line="276" w:lineRule="auto"/>
        <w:jc w:val="both"/>
        <w:rPr>
          <w:b/>
        </w:rPr>
      </w:pPr>
      <w:r w:rsidRPr="000F3785">
        <w:rPr>
          <w:b/>
        </w:rPr>
        <w:t>Zasady określone w rozdziale 9</w:t>
      </w:r>
      <w:r w:rsidR="006C2855" w:rsidRPr="000F3785">
        <w:rPr>
          <w:b/>
        </w:rPr>
        <w:t xml:space="preserve"> „</w:t>
      </w:r>
      <w:r w:rsidR="001C7F1B" w:rsidRPr="000F3785">
        <w:rPr>
          <w:b/>
        </w:rPr>
        <w:t xml:space="preserve">Wykonywanie uprawnień z aktywów nabytych na ryzyko klienta” </w:t>
      </w:r>
      <w:r w:rsidR="006D162E" w:rsidRPr="000F3785">
        <w:rPr>
          <w:b/>
        </w:rPr>
        <w:t>„Zasad Ładu Korporacyjnego”</w:t>
      </w:r>
    </w:p>
    <w:p w:rsidR="001C7F1B" w:rsidRPr="000F3785" w:rsidRDefault="006D162E" w:rsidP="000F3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niewykonywaniem przez Bank działalności w zakresie określonym w Rozdziale 9, Bank nie wprowadził postanowień tego Rozdziału do swojej Polityki.</w:t>
      </w:r>
    </w:p>
    <w:sectPr w:rsidR="001C7F1B" w:rsidRPr="000F3785" w:rsidSect="004A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B03"/>
    <w:multiLevelType w:val="hybridMultilevel"/>
    <w:tmpl w:val="E43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54F7E"/>
    <w:multiLevelType w:val="hybridMultilevel"/>
    <w:tmpl w:val="9154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106"/>
    <w:multiLevelType w:val="hybridMultilevel"/>
    <w:tmpl w:val="30BC2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55331"/>
    <w:multiLevelType w:val="hybridMultilevel"/>
    <w:tmpl w:val="F15A8BCA"/>
    <w:lvl w:ilvl="0" w:tplc="1CCAE7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40"/>
    <w:rsid w:val="00013DA5"/>
    <w:rsid w:val="00086127"/>
    <w:rsid w:val="000C01F2"/>
    <w:rsid w:val="000E66F9"/>
    <w:rsid w:val="000F3785"/>
    <w:rsid w:val="00181606"/>
    <w:rsid w:val="001A1D1D"/>
    <w:rsid w:val="001C7F1B"/>
    <w:rsid w:val="001D7B83"/>
    <w:rsid w:val="001F63E9"/>
    <w:rsid w:val="002020EF"/>
    <w:rsid w:val="0020388B"/>
    <w:rsid w:val="00263358"/>
    <w:rsid w:val="002E1FDD"/>
    <w:rsid w:val="003A6ED0"/>
    <w:rsid w:val="003D572B"/>
    <w:rsid w:val="004037B5"/>
    <w:rsid w:val="004A5424"/>
    <w:rsid w:val="004E1CDE"/>
    <w:rsid w:val="004E4047"/>
    <w:rsid w:val="004F1A30"/>
    <w:rsid w:val="00533B60"/>
    <w:rsid w:val="00553BBF"/>
    <w:rsid w:val="005855DB"/>
    <w:rsid w:val="005872CD"/>
    <w:rsid w:val="005A6456"/>
    <w:rsid w:val="005C4144"/>
    <w:rsid w:val="005D65DB"/>
    <w:rsid w:val="006415C8"/>
    <w:rsid w:val="006672B7"/>
    <w:rsid w:val="00677A12"/>
    <w:rsid w:val="006C2855"/>
    <w:rsid w:val="006D162E"/>
    <w:rsid w:val="00734AE1"/>
    <w:rsid w:val="0073628C"/>
    <w:rsid w:val="00753109"/>
    <w:rsid w:val="00757843"/>
    <w:rsid w:val="007811F6"/>
    <w:rsid w:val="007C4034"/>
    <w:rsid w:val="007C6592"/>
    <w:rsid w:val="00924A8B"/>
    <w:rsid w:val="009557D7"/>
    <w:rsid w:val="00985C55"/>
    <w:rsid w:val="009953D2"/>
    <w:rsid w:val="009B5DBA"/>
    <w:rsid w:val="009C62BC"/>
    <w:rsid w:val="009F6E42"/>
    <w:rsid w:val="00A06933"/>
    <w:rsid w:val="00A94287"/>
    <w:rsid w:val="00AE1364"/>
    <w:rsid w:val="00B15666"/>
    <w:rsid w:val="00B52573"/>
    <w:rsid w:val="00B56FED"/>
    <w:rsid w:val="00B72DCB"/>
    <w:rsid w:val="00BB22D4"/>
    <w:rsid w:val="00C616E7"/>
    <w:rsid w:val="00C64F9B"/>
    <w:rsid w:val="00C81EEC"/>
    <w:rsid w:val="00CB42B1"/>
    <w:rsid w:val="00CE0361"/>
    <w:rsid w:val="00DB0013"/>
    <w:rsid w:val="00E55B40"/>
    <w:rsid w:val="00E64D33"/>
    <w:rsid w:val="00ED4B45"/>
    <w:rsid w:val="00F045F1"/>
    <w:rsid w:val="00F82155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F9F0-AECE-4CA2-A2E1-E13BAC5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0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40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A1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E0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nnikiurzedoweknf.gov.pl/pliki/D_Urz_KNF_poz_17_2014_tcm6-3956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</dc:creator>
  <cp:lastModifiedBy>mjagielska</cp:lastModifiedBy>
  <cp:revision>2</cp:revision>
  <cp:lastPrinted>2014-11-27T07:57:00Z</cp:lastPrinted>
  <dcterms:created xsi:type="dcterms:W3CDTF">2017-01-26T11:22:00Z</dcterms:created>
  <dcterms:modified xsi:type="dcterms:W3CDTF">2017-01-26T11:22:00Z</dcterms:modified>
</cp:coreProperties>
</file>